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eastAsia="黑体" w:cs="Times New Roman"/>
          <w:b/>
          <w:bCs/>
          <w:sz w:val="32"/>
          <w:szCs w:val="32"/>
          <w:lang w:eastAsia="zh-CN"/>
        </w:rPr>
        <w:t>《蓬安县应急管理局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财务内部审计制度</w:t>
      </w:r>
      <w:r>
        <w:rPr>
          <w:rFonts w:hint="eastAsia" w:eastAsia="黑体" w:cs="Times New Roman"/>
          <w:b/>
          <w:bCs/>
          <w:sz w:val="32"/>
          <w:szCs w:val="32"/>
          <w:lang w:eastAsia="zh-CN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第一章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为了加强和完善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内部控制制度，充分发挥内部审计监督作用，使审计工作制度化、规范化、程序化，依据有关法律、法规的规定，特制定本制度。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本制度所称内部审计，是指由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内部审计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或人员，对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内部控制和风险管理的有效性、财务信息的真实性、准确性和完整性以及经营活动的效率和效果等开展的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种审计评价活动。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内部审计的目的是促进内部控制制度的建立与健全，有效地控制成本，改善经营管理，规避风险，杜绝违法行为。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本制度适用于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局机关及下属单位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第二章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内部审计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和审计人员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局机关成立内审组。根据审计业务需要，局党委指派2名以上具有一定政治素质、审计专业知识和审计经验的财会人员担任内部审计人员，其他股室指派人员参加、配合。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内部审计人员必须严格遵守职业道德和审计工作纪律，在审计过程中始终保证独立性，忠于职守，坚持原则，重审计证据，重调查研究，保证审计结果的客观公正，不得滥用职权，徇私舞弊、玩忽职守。局党委应视审计人员工作质量对其进行奖励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内部审计人员应按审计程序开展工作，对审计事项严守秘密，未经批准不得公开。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内部审计人员开展正常的内部审计工作不受其他股室（中心、大队）或者个人的干涉和阻挠。任何股室（中心、大队）和个人不得打击报复坚持工作原则的内部审计人员。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jI3NTYzNjI4MWY3ZTFlZWI3ZWQ0OWI2Mjg0YTYifQ=="/>
  </w:docVars>
  <w:rsids>
    <w:rsidRoot w:val="00000000"/>
    <w:rsid w:val="147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2023-07-13T03:10:04Z</dcterms:created>
  <dc:creator>Administrator</dc:creator>
  <cp:lastModifiedBy>丑丑姑娘</cp:lastModifiedBy>
  <dcterms:modified xsi:type="dcterms:W3CDTF">2023-07-13T03:10:50Z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4EF3E478D6984691AF2C70999F1AF9A3_12</vt:lpwstr>
  </property>
</Properties>
</file>